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82" w:rsidRDefault="00B71482" w:rsidP="00B71482">
      <w:pPr>
        <w:jc w:val="center"/>
        <w:rPr>
          <w:b/>
          <w:sz w:val="28"/>
        </w:rPr>
      </w:pPr>
      <w:bookmarkStart w:id="0" w:name="_GoBack"/>
      <w:bookmarkEnd w:id="0"/>
      <w:r w:rsidRPr="009A6B5E">
        <w:rPr>
          <w:b/>
          <w:sz w:val="28"/>
        </w:rPr>
        <w:t xml:space="preserve">Справка </w:t>
      </w:r>
    </w:p>
    <w:p w:rsidR="00B71482" w:rsidRDefault="00B71482" w:rsidP="00B71482">
      <w:pPr>
        <w:jc w:val="center"/>
        <w:rPr>
          <w:b/>
          <w:sz w:val="28"/>
        </w:rPr>
      </w:pPr>
      <w:r w:rsidRPr="009A6B5E">
        <w:rPr>
          <w:b/>
          <w:sz w:val="28"/>
        </w:rPr>
        <w:t>по чл. 7 и чл. 8 от Закон за местните данъци и такси</w:t>
      </w:r>
    </w:p>
    <w:p w:rsidR="000128B5" w:rsidRPr="000128B5" w:rsidRDefault="00B71482" w:rsidP="000128B5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за опр</w:t>
      </w:r>
      <w:r w:rsidR="000128B5">
        <w:rPr>
          <w:b/>
          <w:sz w:val="28"/>
        </w:rPr>
        <w:t>еделяне на размер на ТБО за 2022</w:t>
      </w:r>
      <w:r>
        <w:rPr>
          <w:b/>
          <w:sz w:val="28"/>
        </w:rPr>
        <w:t xml:space="preserve"> г. в Община Хасково</w:t>
      </w:r>
    </w:p>
    <w:p w:rsidR="00915E4F" w:rsidRDefault="008A1CB7" w:rsidP="00DE4399">
      <w:pPr>
        <w:ind w:firstLine="708"/>
        <w:jc w:val="both"/>
        <w:rPr>
          <w:sz w:val="24"/>
        </w:rPr>
      </w:pPr>
      <w:r>
        <w:rPr>
          <w:sz w:val="24"/>
        </w:rPr>
        <w:t>Р</w:t>
      </w:r>
      <w:r w:rsidRPr="008A1CB7">
        <w:rPr>
          <w:sz w:val="24"/>
        </w:rPr>
        <w:t>аботния</w:t>
      </w:r>
      <w:r w:rsidR="00DE4399">
        <w:rPr>
          <w:sz w:val="24"/>
        </w:rPr>
        <w:t>т</w:t>
      </w:r>
      <w:r w:rsidRPr="008A1CB7">
        <w:rPr>
          <w:sz w:val="24"/>
        </w:rPr>
        <w:t xml:space="preserve"> вариант на План-см</w:t>
      </w:r>
      <w:r>
        <w:rPr>
          <w:sz w:val="24"/>
        </w:rPr>
        <w:t xml:space="preserve">етка </w:t>
      </w:r>
      <w:r w:rsidR="00A22E28">
        <w:rPr>
          <w:sz w:val="24"/>
        </w:rPr>
        <w:t xml:space="preserve">за </w:t>
      </w:r>
      <w:r>
        <w:rPr>
          <w:sz w:val="24"/>
        </w:rPr>
        <w:t>ТБО за 2022 г. е</w:t>
      </w:r>
      <w:r w:rsidRPr="008A1CB7">
        <w:rPr>
          <w:sz w:val="24"/>
        </w:rPr>
        <w:t xml:space="preserve"> изготвен</w:t>
      </w:r>
      <w:r>
        <w:rPr>
          <w:sz w:val="24"/>
        </w:rPr>
        <w:t xml:space="preserve"> към средата на м. 11.2021 г. на база анализ на очакваните разходи през 2021 г., както и въз основа на действащите договори с изпълнители по утвърдените им цени и прогнозни количества отпадъци за 2022 година</w:t>
      </w:r>
      <w:r w:rsidRPr="008A1CB7">
        <w:rPr>
          <w:sz w:val="24"/>
        </w:rPr>
        <w:t xml:space="preserve">. </w:t>
      </w:r>
      <w:r>
        <w:rPr>
          <w:sz w:val="24"/>
        </w:rPr>
        <w:t>Р</w:t>
      </w:r>
      <w:r w:rsidRPr="008A1CB7">
        <w:rPr>
          <w:sz w:val="24"/>
        </w:rPr>
        <w:t>азходните искове от дирекция ЕНППЕ</w:t>
      </w:r>
      <w:r>
        <w:rPr>
          <w:sz w:val="24"/>
        </w:rPr>
        <w:t xml:space="preserve"> са използвани като основа за определяне на разходните позиции с планираните им стойности</w:t>
      </w:r>
      <w:r w:rsidRPr="008A1CB7">
        <w:rPr>
          <w:sz w:val="24"/>
        </w:rPr>
        <w:t>, а по отношение на приходите</w:t>
      </w:r>
      <w:r w:rsidR="00DE4399">
        <w:rPr>
          <w:sz w:val="24"/>
        </w:rPr>
        <w:t xml:space="preserve"> </w:t>
      </w:r>
      <w:r w:rsidRPr="008A1CB7">
        <w:rPr>
          <w:sz w:val="24"/>
        </w:rPr>
        <w:t xml:space="preserve">- </w:t>
      </w:r>
      <w:r>
        <w:rPr>
          <w:sz w:val="24"/>
        </w:rPr>
        <w:t xml:space="preserve">информация от </w:t>
      </w:r>
      <w:r w:rsidRPr="008A1CB7">
        <w:rPr>
          <w:sz w:val="24"/>
        </w:rPr>
        <w:t xml:space="preserve"> дирекция ОДД</w:t>
      </w:r>
      <w:r>
        <w:rPr>
          <w:sz w:val="24"/>
        </w:rPr>
        <w:t xml:space="preserve"> за облог през 2022 година, редуциран в резултат на очакваните декларации по чл. 71 от ЗМДТ</w:t>
      </w:r>
      <w:r w:rsidRPr="008A1CB7">
        <w:rPr>
          <w:sz w:val="24"/>
        </w:rPr>
        <w:t>.</w:t>
      </w:r>
      <w:r>
        <w:rPr>
          <w:sz w:val="24"/>
        </w:rPr>
        <w:t xml:space="preserve"> Детайлното описание на предвидените разходи през 2022 г., заедно с анализ за ценовото формиране, е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B71482" w:rsidRPr="00C4683E" w:rsidTr="00061218">
        <w:tc>
          <w:tcPr>
            <w:tcW w:w="2943" w:type="dxa"/>
          </w:tcPr>
          <w:p w:rsidR="00B71482" w:rsidRPr="00B71482" w:rsidRDefault="00B71482" w:rsidP="00061218">
            <w:pPr>
              <w:spacing w:line="276" w:lineRule="auto"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>І. Осигуряване на съдове за съхранение на битови отпадъци</w:t>
            </w:r>
          </w:p>
        </w:tc>
        <w:tc>
          <w:tcPr>
            <w:tcW w:w="6269" w:type="dxa"/>
          </w:tcPr>
          <w:p w:rsidR="00B71482" w:rsidRPr="00B71482" w:rsidRDefault="00B71482" w:rsidP="00B71482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>Към настоящия момент на територията на общината са разположени и се обслужват:</w:t>
            </w:r>
          </w:p>
          <w:p w:rsidR="00B71482" w:rsidRPr="00B71482" w:rsidRDefault="00B71482" w:rsidP="00B71482">
            <w:pPr>
              <w:pStyle w:val="a3"/>
              <w:numPr>
                <w:ilvl w:val="0"/>
                <w:numId w:val="3"/>
              </w:numPr>
              <w:jc w:val="both"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>1450 бр. контейнери тип „Бобър“ с вместимост 1,1 м3;</w:t>
            </w:r>
          </w:p>
          <w:p w:rsidR="00B71482" w:rsidRPr="00B71482" w:rsidRDefault="00B71482" w:rsidP="00B71482">
            <w:pPr>
              <w:pStyle w:val="a3"/>
              <w:numPr>
                <w:ilvl w:val="0"/>
                <w:numId w:val="3"/>
              </w:numPr>
              <w:jc w:val="both"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>2145 бр.кофи с обем 120 л.;</w:t>
            </w:r>
          </w:p>
          <w:p w:rsidR="00B71482" w:rsidRPr="00B71482" w:rsidRDefault="00B71482" w:rsidP="00B71482">
            <w:pPr>
              <w:pStyle w:val="a3"/>
              <w:numPr>
                <w:ilvl w:val="0"/>
                <w:numId w:val="3"/>
              </w:numPr>
              <w:jc w:val="both"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>692 бр. съдове за пепел;</w:t>
            </w:r>
          </w:p>
          <w:p w:rsidR="00B71482" w:rsidRPr="00B71482" w:rsidRDefault="00B71482" w:rsidP="00B71482">
            <w:pPr>
              <w:pStyle w:val="a3"/>
              <w:numPr>
                <w:ilvl w:val="0"/>
                <w:numId w:val="3"/>
              </w:numPr>
              <w:jc w:val="both"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>903 бр. кошчета за отпадъци.</w:t>
            </w:r>
          </w:p>
          <w:p w:rsidR="00B71482" w:rsidRPr="00B71482" w:rsidRDefault="00B71482" w:rsidP="00061218">
            <w:pPr>
              <w:ind w:left="360"/>
              <w:jc w:val="both"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>Същият брой съдове се предвижда да бъде запазен и през 2022 г. Задължение на сметосъбиращата и сметоизвозваща фирма е да ги осигури и поддръжа във функционално състояние, което е вменено по силата на договорните взаимоотношения, с изключение на съдовете за пепел и кошчета за отпадъци. За последните не се предвиждат разходи за придобиване през 2022 г.</w:t>
            </w:r>
          </w:p>
        </w:tc>
      </w:tr>
      <w:tr w:rsidR="00B71482" w:rsidRPr="00C4683E" w:rsidTr="00061218">
        <w:tc>
          <w:tcPr>
            <w:tcW w:w="2943" w:type="dxa"/>
          </w:tcPr>
          <w:p w:rsidR="00B71482" w:rsidRPr="00B71482" w:rsidRDefault="00B71482" w:rsidP="00061218">
            <w:pPr>
              <w:spacing w:line="276" w:lineRule="auto"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>ІI. Събиране на битови отпадъци и транспортирането им до инсталации и съоръжения за транспортирането им  и осигуряване на съдове за събиране на битовите отпадъци</w:t>
            </w:r>
          </w:p>
        </w:tc>
        <w:tc>
          <w:tcPr>
            <w:tcW w:w="6269" w:type="dxa"/>
          </w:tcPr>
          <w:p w:rsidR="00B71482" w:rsidRDefault="00B71482" w:rsidP="00B7148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 xml:space="preserve">Стойностите са предвидени съгласно  действащите към момента договори, сключени по  реда на ЗОП с външни изпълнители за дейностите по сметосъбиране и сметоизвозване на територията на общината. </w:t>
            </w:r>
          </w:p>
          <w:p w:rsidR="00B71482" w:rsidRDefault="00B71482" w:rsidP="00B71482">
            <w:pPr>
              <w:spacing w:line="276" w:lineRule="auto"/>
              <w:ind w:left="720"/>
              <w:contextualSpacing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-  Услугата на територията на град Хасково </w:t>
            </w:r>
            <w:r w:rsidR="006548BB">
              <w:rPr>
                <w:rFonts w:eastAsiaTheme="minorHAnsi"/>
                <w:sz w:val="24"/>
                <w:lang w:eastAsia="en-US"/>
              </w:rPr>
              <w:t xml:space="preserve">през 2022 г. ще </w:t>
            </w:r>
            <w:r>
              <w:rPr>
                <w:rFonts w:eastAsiaTheme="minorHAnsi"/>
                <w:sz w:val="24"/>
                <w:lang w:eastAsia="en-US"/>
              </w:rPr>
              <w:t xml:space="preserve">се извършва съгласно сключен нов договор </w:t>
            </w:r>
            <w:r w:rsidR="006548BB">
              <w:rPr>
                <w:rFonts w:eastAsiaTheme="minorHAnsi"/>
                <w:sz w:val="24"/>
                <w:lang w:eastAsia="en-US"/>
              </w:rPr>
              <w:t>с изпълнител по реда на ЗОП. Прогнозната стойност за годината възлиза на 2 390 000 лв. без ДДС.</w:t>
            </w:r>
            <w:r w:rsidR="003C3DFA">
              <w:rPr>
                <w:rFonts w:eastAsiaTheme="minorHAnsi"/>
                <w:sz w:val="24"/>
                <w:lang w:eastAsia="en-US"/>
              </w:rPr>
              <w:t xml:space="preserve"> За сравнение през 2021 г. отчетените разходи </w:t>
            </w:r>
            <w:r w:rsidR="003C3DFA">
              <w:rPr>
                <w:rFonts w:eastAsiaTheme="minorHAnsi"/>
                <w:sz w:val="24"/>
                <w:lang w:eastAsia="en-US"/>
              </w:rPr>
              <w:lastRenderedPageBreak/>
              <w:t>ще бъдат в приблизителен размер на 2 139 000 лв., но при условията на действащия през годината договор от 2015 г.</w:t>
            </w:r>
          </w:p>
          <w:p w:rsidR="00B71482" w:rsidRPr="00B71482" w:rsidRDefault="00B71482" w:rsidP="00B71482">
            <w:pPr>
              <w:spacing w:line="276" w:lineRule="auto"/>
              <w:ind w:left="720"/>
              <w:contextualSpacing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- </w:t>
            </w:r>
            <w:r w:rsidRPr="00B71482">
              <w:rPr>
                <w:rFonts w:eastAsiaTheme="minorHAnsi"/>
                <w:sz w:val="24"/>
                <w:lang w:eastAsia="en-US"/>
              </w:rPr>
              <w:t xml:space="preserve">Договорът за предоставяне на услугата в селата на територията на общината </w:t>
            </w:r>
            <w:r w:rsidR="006548BB">
              <w:rPr>
                <w:rFonts w:eastAsiaTheme="minorHAnsi"/>
                <w:sz w:val="24"/>
                <w:lang w:eastAsia="en-US"/>
              </w:rPr>
              <w:t xml:space="preserve">с „Волф Милениум“ </w:t>
            </w:r>
            <w:r w:rsidRPr="00B71482">
              <w:rPr>
                <w:rFonts w:eastAsiaTheme="minorHAnsi"/>
                <w:sz w:val="24"/>
                <w:lang w:eastAsia="en-US"/>
              </w:rPr>
              <w:t xml:space="preserve">изтича в края на първото полугодие на 2022 г. С цел подобряване качеството на услугата се предвижда увеличаване кратността на сметосъбирането, което води </w:t>
            </w:r>
            <w:r w:rsidR="006548BB">
              <w:rPr>
                <w:rFonts w:eastAsiaTheme="minorHAnsi"/>
                <w:sz w:val="24"/>
                <w:lang w:eastAsia="en-US"/>
              </w:rPr>
              <w:t xml:space="preserve">и </w:t>
            </w:r>
            <w:r w:rsidRPr="00B71482">
              <w:rPr>
                <w:rFonts w:eastAsiaTheme="minorHAnsi"/>
                <w:sz w:val="24"/>
                <w:lang w:eastAsia="en-US"/>
              </w:rPr>
              <w:t>до  прогнозно увеличение с 20%  на стойността за извършване на услугата. Съгласно чл. 163 а от ЗДДС по тези дейности община Хасково има ангажимент за самоначисляване и заплащане на ДДС върху фактурираните суми.</w:t>
            </w:r>
            <w:r w:rsidR="006548BB">
              <w:rPr>
                <w:rFonts w:eastAsiaTheme="minorHAnsi"/>
                <w:sz w:val="24"/>
                <w:lang w:eastAsia="en-US"/>
              </w:rPr>
              <w:t xml:space="preserve"> Общият планиран размер на разходите на годишна база е 517 000 лв.</w:t>
            </w:r>
          </w:p>
          <w:p w:rsidR="00B71482" w:rsidRPr="00B71482" w:rsidRDefault="00B71482" w:rsidP="00B7148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>Прогнозната стойност на разходите за осигуряване на услугата възлиза на 3 488 400 лв., в които е включен самоначислен ДДС по силата на чл. 163а от ЗДДС.</w:t>
            </w:r>
          </w:p>
          <w:p w:rsidR="00B71482" w:rsidRPr="00B71482" w:rsidRDefault="00B71482" w:rsidP="00061218">
            <w:pPr>
              <w:spacing w:line="276" w:lineRule="auto"/>
              <w:ind w:left="360"/>
              <w:rPr>
                <w:rFonts w:eastAsiaTheme="minorHAnsi"/>
                <w:sz w:val="24"/>
                <w:lang w:eastAsia="en-US"/>
              </w:rPr>
            </w:pPr>
          </w:p>
        </w:tc>
      </w:tr>
      <w:tr w:rsidR="00B71482" w:rsidRPr="00C4683E" w:rsidTr="00061218">
        <w:tc>
          <w:tcPr>
            <w:tcW w:w="2943" w:type="dxa"/>
          </w:tcPr>
          <w:p w:rsidR="00B71482" w:rsidRPr="00B71482" w:rsidRDefault="00B71482" w:rsidP="00061218">
            <w:pPr>
              <w:spacing w:line="276" w:lineRule="auto"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lastRenderedPageBreak/>
              <w:t>ІІI. Третиране на битови отпадъци, необхванати в управлението на масово разпространените отпадъци, както и проучване, проектиране, изграждане, поддържане, експлоатация, закриване и мониторинг на депата за битови отпадъци и/или други</w:t>
            </w:r>
          </w:p>
        </w:tc>
        <w:tc>
          <w:tcPr>
            <w:tcW w:w="6269" w:type="dxa"/>
          </w:tcPr>
          <w:p w:rsidR="00B71482" w:rsidRPr="00B71482" w:rsidRDefault="00B71482" w:rsidP="00B7148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>За експлоатация на Регионален център за третиране на неопасни отпадъци в землището на с. Гарваново се предвиждат 1 467 860 лв. с включен ДДС. Планираните стойности са изчислени на база прогнозните количества отпадък от Община Хасково за годината /25 500 т./ и утвърдените по силата на сключения договор цени на извършваните дейности по експлоатация.</w:t>
            </w:r>
            <w:r w:rsidR="003C3DFA">
              <w:rPr>
                <w:rFonts w:eastAsiaTheme="minorHAnsi"/>
                <w:sz w:val="24"/>
                <w:lang w:eastAsia="en-US"/>
              </w:rPr>
              <w:t xml:space="preserve"> По- детайлна разбивка на компонентите по договора е представена в части от Приложение №1 към докладната записка.</w:t>
            </w:r>
          </w:p>
          <w:p w:rsidR="00B71482" w:rsidRPr="00B71482" w:rsidRDefault="00B71482" w:rsidP="00B7148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 xml:space="preserve">По силата на нормативните изисквания и на база действащото комплексно разрешително №356 – Н1/2012 г. и решение №356- Н1-I0-A1/2020 г. за актуализация е необходимо извършването на следексплоатационен мониторинг на закритите две клетки на депото. Предвидени са средства </w:t>
            </w:r>
            <w:r w:rsidR="003C3DFA">
              <w:rPr>
                <w:rFonts w:eastAsiaTheme="minorHAnsi"/>
                <w:sz w:val="24"/>
                <w:lang w:eastAsia="en-US"/>
              </w:rPr>
              <w:t xml:space="preserve">след направени пазарни проучвания </w:t>
            </w:r>
            <w:r w:rsidRPr="00B71482">
              <w:rPr>
                <w:rFonts w:eastAsiaTheme="minorHAnsi"/>
                <w:sz w:val="24"/>
                <w:lang w:eastAsia="en-US"/>
              </w:rPr>
              <w:t xml:space="preserve">за годината в </w:t>
            </w:r>
            <w:r w:rsidRPr="00B71482">
              <w:rPr>
                <w:rFonts w:eastAsiaTheme="minorHAnsi"/>
                <w:sz w:val="24"/>
                <w:lang w:eastAsia="en-US"/>
              </w:rPr>
              <w:lastRenderedPageBreak/>
              <w:t xml:space="preserve">размер на 12 000 лв. с ДДС.  </w:t>
            </w:r>
          </w:p>
          <w:p w:rsidR="00B71482" w:rsidRPr="00B71482" w:rsidRDefault="00B34BCE" w:rsidP="00B34BC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eastAsiaTheme="minorHAnsi"/>
                <w:sz w:val="24"/>
                <w:lang w:eastAsia="en-US"/>
              </w:rPr>
            </w:pPr>
            <w:r w:rsidRPr="00B34BCE">
              <w:rPr>
                <w:rFonts w:eastAsiaTheme="minorHAnsi"/>
                <w:sz w:val="24"/>
                <w:lang w:eastAsia="en-US"/>
              </w:rPr>
              <w:t xml:space="preserve">В резултат на регистрираните </w:t>
            </w:r>
            <w:r>
              <w:rPr>
                <w:rFonts w:eastAsiaTheme="minorHAnsi"/>
                <w:sz w:val="24"/>
                <w:lang w:eastAsia="en-US"/>
              </w:rPr>
              <w:t xml:space="preserve">все повече </w:t>
            </w:r>
            <w:r w:rsidRPr="00B34BCE">
              <w:rPr>
                <w:rFonts w:eastAsiaTheme="minorHAnsi"/>
                <w:sz w:val="24"/>
                <w:lang w:eastAsia="en-US"/>
              </w:rPr>
              <w:t xml:space="preserve">случаи през годините на нерегламентирани сметища </w:t>
            </w:r>
            <w:r>
              <w:rPr>
                <w:rFonts w:eastAsiaTheme="minorHAnsi"/>
                <w:sz w:val="24"/>
                <w:lang w:eastAsia="en-US"/>
              </w:rPr>
              <w:t xml:space="preserve">в големи мащаби </w:t>
            </w:r>
            <w:r w:rsidRPr="00B34BCE">
              <w:rPr>
                <w:rFonts w:eastAsiaTheme="minorHAnsi"/>
                <w:sz w:val="24"/>
                <w:lang w:eastAsia="en-US"/>
              </w:rPr>
              <w:t xml:space="preserve">на територията на </w:t>
            </w:r>
            <w:r>
              <w:rPr>
                <w:rFonts w:eastAsiaTheme="minorHAnsi"/>
                <w:sz w:val="24"/>
                <w:lang w:eastAsia="en-US"/>
              </w:rPr>
              <w:t>общината, особено в град Хасково,</w:t>
            </w:r>
            <w:r w:rsidRPr="00B34BCE">
              <w:rPr>
                <w:rFonts w:eastAsiaTheme="minorHAnsi"/>
                <w:sz w:val="24"/>
                <w:lang w:eastAsia="en-US"/>
              </w:rPr>
              <w:t xml:space="preserve"> се формира необходимост от предприемане на мерки за отстраняването им. Поради липсата на </w:t>
            </w:r>
            <w:r>
              <w:rPr>
                <w:rFonts w:eastAsiaTheme="minorHAnsi"/>
                <w:sz w:val="24"/>
                <w:lang w:eastAsia="en-US"/>
              </w:rPr>
              <w:t>специализирана техника</w:t>
            </w:r>
            <w:r w:rsidRPr="00B34BCE">
              <w:rPr>
                <w:rFonts w:eastAsiaTheme="minorHAnsi"/>
                <w:sz w:val="24"/>
                <w:lang w:eastAsia="en-US"/>
              </w:rPr>
              <w:t>, понастоящем тези дейности се възлагат на вън</w:t>
            </w:r>
            <w:r>
              <w:rPr>
                <w:rFonts w:eastAsiaTheme="minorHAnsi"/>
                <w:sz w:val="24"/>
                <w:lang w:eastAsia="en-US"/>
              </w:rPr>
              <w:t>шен изпълнител година</w:t>
            </w:r>
            <w:r w:rsidRPr="00B34BCE">
              <w:rPr>
                <w:rFonts w:eastAsiaTheme="minorHAnsi"/>
                <w:sz w:val="24"/>
                <w:lang w:eastAsia="en-US"/>
              </w:rPr>
              <w:t xml:space="preserve">. </w:t>
            </w:r>
            <w:r w:rsidR="00B71482" w:rsidRPr="00B71482">
              <w:rPr>
                <w:rFonts w:eastAsiaTheme="minorHAnsi"/>
                <w:sz w:val="24"/>
                <w:lang w:eastAsia="en-US"/>
              </w:rPr>
              <w:t>За дейности по почистване на нерегламентирани сметища в рамките на общината, след обявяване на процедура по ЗОП, се предвиждат 180 000 лв. с включен ДДС. В резултат се планира почистването</w:t>
            </w:r>
            <w:r>
              <w:rPr>
                <w:rFonts w:eastAsiaTheme="minorHAnsi"/>
                <w:sz w:val="24"/>
                <w:lang w:eastAsia="en-US"/>
              </w:rPr>
              <w:t xml:space="preserve"> на около 2</w:t>
            </w:r>
            <w:r w:rsidR="00B71482" w:rsidRPr="00B71482">
              <w:rPr>
                <w:rFonts w:eastAsiaTheme="minorHAnsi"/>
                <w:sz w:val="24"/>
                <w:lang w:eastAsia="en-US"/>
              </w:rPr>
              <w:t> 000 тона битов отпадък. Посоченото количество ще рефлектира и върху стойността на разходите за експлоатация на  регионалния център за битови отпадъци, както и в последствие дължимите отчисления за депониране през 2022 г.</w:t>
            </w:r>
            <w:r w:rsidR="003C3DFA">
              <w:rPr>
                <w:rFonts w:eastAsiaTheme="minorHAnsi"/>
                <w:sz w:val="24"/>
                <w:lang w:eastAsia="en-US"/>
              </w:rPr>
              <w:t xml:space="preserve"> Очаква се основната част от събрания отпадък да депониран поради характера и невъзможността за сепарирането му.</w:t>
            </w:r>
            <w:r w:rsidR="00B71482" w:rsidRPr="00B71482">
              <w:rPr>
                <w:rFonts w:eastAsiaTheme="minorHAnsi"/>
                <w:sz w:val="24"/>
                <w:lang w:eastAsia="en-US"/>
              </w:rPr>
              <w:t xml:space="preserve"> </w:t>
            </w:r>
          </w:p>
          <w:p w:rsidR="00B71482" w:rsidRPr="00B71482" w:rsidRDefault="00B71482" w:rsidP="00B7148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 xml:space="preserve">Съгласно актуализираната Наредба 7/2013 г. за реда и начина на изчисляване  и определяне размера на обезпеченията и отчисленията и чл. 60 и 64 от Закона за управление на отпадъците </w:t>
            </w:r>
            <w:r w:rsidR="007767BC">
              <w:rPr>
                <w:rFonts w:eastAsiaTheme="minorHAnsi"/>
                <w:sz w:val="24"/>
                <w:lang w:eastAsia="en-US"/>
              </w:rPr>
              <w:t xml:space="preserve">през 2022 година </w:t>
            </w:r>
            <w:r w:rsidRPr="00B71482">
              <w:rPr>
                <w:rFonts w:eastAsiaTheme="minorHAnsi"/>
                <w:sz w:val="24"/>
                <w:lang w:eastAsia="en-US"/>
              </w:rPr>
              <w:t xml:space="preserve">община Хасково </w:t>
            </w:r>
            <w:r w:rsidR="007767BC">
              <w:rPr>
                <w:rFonts w:eastAsiaTheme="minorHAnsi"/>
                <w:sz w:val="24"/>
                <w:lang w:eastAsia="en-US"/>
              </w:rPr>
              <w:t xml:space="preserve">ще </w:t>
            </w:r>
            <w:r w:rsidRPr="00B71482">
              <w:rPr>
                <w:rFonts w:eastAsiaTheme="minorHAnsi"/>
                <w:sz w:val="24"/>
                <w:lang w:eastAsia="en-US"/>
              </w:rPr>
              <w:t xml:space="preserve">внася средства по индивидуална партида в РИОСВ, </w:t>
            </w:r>
            <w:r w:rsidR="007767BC">
              <w:rPr>
                <w:rFonts w:eastAsiaTheme="minorHAnsi"/>
                <w:sz w:val="24"/>
                <w:lang w:eastAsia="en-US"/>
              </w:rPr>
              <w:t>по следните цени</w:t>
            </w:r>
            <w:r w:rsidRPr="00B71482">
              <w:rPr>
                <w:rFonts w:eastAsiaTheme="minorHAnsi"/>
                <w:sz w:val="24"/>
                <w:lang w:eastAsia="en-US"/>
              </w:rPr>
              <w:t>:</w:t>
            </w:r>
          </w:p>
          <w:p w:rsidR="00B71482" w:rsidRPr="00B71482" w:rsidRDefault="00B71482" w:rsidP="00061218">
            <w:pPr>
              <w:spacing w:line="276" w:lineRule="auto"/>
              <w:ind w:left="720"/>
              <w:contextualSpacing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>- по чл. 60 - 5.87 лв./тон;</w:t>
            </w:r>
          </w:p>
          <w:p w:rsidR="00B71482" w:rsidRPr="00B71482" w:rsidRDefault="00B71482" w:rsidP="00061218">
            <w:pPr>
              <w:spacing w:line="276" w:lineRule="auto"/>
              <w:ind w:left="720"/>
              <w:contextualSpacing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 xml:space="preserve">- по чл. 64 - 95 лв./тон. </w:t>
            </w:r>
          </w:p>
          <w:p w:rsidR="00B71482" w:rsidRPr="00B71482" w:rsidRDefault="00B71482" w:rsidP="00061218">
            <w:pPr>
              <w:spacing w:line="276" w:lineRule="auto"/>
              <w:ind w:left="720"/>
              <w:contextualSpacing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>Очакваното количество депониран отпадък за Община Хасково е в размер приблизително 22 000 т., което в парично измерение представлява 2 219 140 лв.</w:t>
            </w:r>
          </w:p>
          <w:p w:rsidR="00B71482" w:rsidRPr="00B71482" w:rsidRDefault="00B71482" w:rsidP="00B7148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 xml:space="preserve">До края на 2021 г. ще стартира процедурата за избор на изпълнител по реда на ЗОП за обект „Закриване, включително биологична и техническа рекултивация на клетка 1 в РЦТНО, с.Гарваново“. Съгласно нормативните изисквания след изчерпване на капацитета на клетката за </w:t>
            </w:r>
            <w:r w:rsidRPr="00B71482">
              <w:rPr>
                <w:rFonts w:eastAsiaTheme="minorHAnsi"/>
                <w:sz w:val="24"/>
                <w:lang w:eastAsia="en-US"/>
              </w:rPr>
              <w:lastRenderedPageBreak/>
              <w:t xml:space="preserve">депониране на отпадъци следва да се предприемат действия по закриване й, включително биологична и техническа рекултивация. Прогнозната стойност на инвестиционния обект възлиза на 1 624 000 лв. За осигуряване на финансов ресурс община Хасково ще използва преходен целеви остатък в размер на 267 920 лв., който е в следствие на изтеглени от партидата ни в РИОСВ 613 503 лв. Планирани са още 617 120 лв. постъпления от Община Димитровград и Община Минерални бани в качеството им на ползватели на клетката, с които да се финансира осъществяването на обекта. Пропорционалното разпределение между полагащите се разходи за рекултивация, изчислено на база на население между собственик на РЦТНО и ползватели, е 62:38. </w:t>
            </w:r>
          </w:p>
          <w:p w:rsidR="00B71482" w:rsidRPr="00B71482" w:rsidRDefault="00B71482" w:rsidP="00B7148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>Необходимо е извършване на актуализация на инструкциите и изискуемите документи по условията от Комплексно разрешително № 356/Н-1/2012 г. за РЦТНО в с. Гарваново. Прогнозната стойност на дейността е в размер 30 000 лв. с включен ДДС;</w:t>
            </w:r>
          </w:p>
        </w:tc>
      </w:tr>
      <w:tr w:rsidR="00B71482" w:rsidRPr="00C4683E" w:rsidTr="00061218">
        <w:tc>
          <w:tcPr>
            <w:tcW w:w="2943" w:type="dxa"/>
          </w:tcPr>
          <w:p w:rsidR="00B71482" w:rsidRPr="00B71482" w:rsidRDefault="00B71482" w:rsidP="00061218">
            <w:pPr>
              <w:spacing w:line="276" w:lineRule="auto"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lastRenderedPageBreak/>
              <w:t>IV. Поддържане на чистотата на уличните платна, площадите, алеите, парковите и другите територии от населените места и селищните образувания в общината, предназначени за обществено ползване</w:t>
            </w:r>
          </w:p>
        </w:tc>
        <w:tc>
          <w:tcPr>
            <w:tcW w:w="6269" w:type="dxa"/>
          </w:tcPr>
          <w:p w:rsidR="00B71482" w:rsidRPr="00B71482" w:rsidRDefault="00B71482" w:rsidP="00B7148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 xml:space="preserve">Дейност "Чистота" в ОП "Екопрогрес" включва почистването и поддържане на териториите за обществено ползване, които са извън обхвата на договорите с външните изпълнители. Основната част от разходите тук са за възнаграждения и осигурителни вноски, които са силно зависими от държавната политика по доходите. Към настоящия момент не е известна промяна на минималната работна заплата,поради което  планирано стандартен ръст на брутните възнаграждения с 10 %. Утвърдената численост на персонала в дейността е 116 бр. Част от средствата, които ще бъдат предоставени, са предназначени за обновяване на остарялата техника. Общият размер на предвидения ресурс за осъществяване на </w:t>
            </w:r>
            <w:r w:rsidRPr="00B71482">
              <w:rPr>
                <w:rFonts w:eastAsiaTheme="minorHAnsi"/>
                <w:sz w:val="24"/>
                <w:lang w:eastAsia="en-US"/>
              </w:rPr>
              <w:lastRenderedPageBreak/>
              <w:t>дейност „Чистота“ в общинското предприятие е 1 950 000 лв. Рекапитулация на планираните средства по единна бюджетна класификация е представена в Приложение № 3 към докладната записка;</w:t>
            </w:r>
          </w:p>
          <w:p w:rsidR="007767BC" w:rsidRDefault="00B71482" w:rsidP="00B71482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eastAsiaTheme="minorHAnsi"/>
                <w:sz w:val="24"/>
                <w:lang w:eastAsia="en-US"/>
              </w:rPr>
            </w:pPr>
            <w:r w:rsidRPr="00B71482">
              <w:rPr>
                <w:rFonts w:eastAsiaTheme="minorHAnsi"/>
                <w:sz w:val="24"/>
                <w:lang w:eastAsia="en-US"/>
              </w:rPr>
              <w:t>Дейностите по метене, миене и снегопочистване на улиците в град Хасково се осъществяват от външни изпълнители и са планирани на б</w:t>
            </w:r>
            <w:r w:rsidR="007767BC">
              <w:rPr>
                <w:rFonts w:eastAsiaTheme="minorHAnsi"/>
                <w:sz w:val="24"/>
                <w:lang w:eastAsia="en-US"/>
              </w:rPr>
              <w:t>а</w:t>
            </w:r>
            <w:r w:rsidRPr="00B71482">
              <w:rPr>
                <w:rFonts w:eastAsiaTheme="minorHAnsi"/>
                <w:sz w:val="24"/>
                <w:lang w:eastAsia="en-US"/>
              </w:rPr>
              <w:t xml:space="preserve">за проведените процедури по ЗОП и утвърдените цени на услугите. </w:t>
            </w:r>
            <w:r w:rsidR="007767BC">
              <w:rPr>
                <w:rFonts w:eastAsiaTheme="minorHAnsi"/>
                <w:sz w:val="24"/>
                <w:lang w:eastAsia="en-US"/>
              </w:rPr>
              <w:t>Рекапитулацията на услугите е, както следва:</w:t>
            </w:r>
          </w:p>
          <w:p w:rsidR="007767BC" w:rsidRDefault="007767BC" w:rsidP="007767BC">
            <w:pPr>
              <w:spacing w:line="276" w:lineRule="auto"/>
              <w:ind w:left="720"/>
              <w:contextualSpacing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- за дейностите по метене и миене на територията на град Хасково очаквания размер на разходите за 2022 година е 1 575 000 лв. За сравнения през текущата година очакваните разплащания по изтичащия договор с изпълнител, сключен преди пет години, ще бъдат в порядък 1 200 000 лв. </w:t>
            </w:r>
          </w:p>
          <w:p w:rsidR="007767BC" w:rsidRDefault="007767BC" w:rsidP="007767BC">
            <w:pPr>
              <w:spacing w:line="276" w:lineRule="auto"/>
              <w:ind w:left="720"/>
              <w:contextualSpacing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- </w:t>
            </w:r>
            <w:r w:rsidRPr="007767BC">
              <w:rPr>
                <w:rFonts w:eastAsiaTheme="minorHAnsi"/>
                <w:sz w:val="24"/>
                <w:lang w:eastAsia="en-US"/>
              </w:rPr>
              <w:t xml:space="preserve">за дейност снегопочистване </w:t>
            </w:r>
            <w:r>
              <w:rPr>
                <w:rFonts w:eastAsiaTheme="minorHAnsi"/>
                <w:sz w:val="24"/>
                <w:lang w:eastAsia="en-US"/>
              </w:rPr>
              <w:t xml:space="preserve">в град Хасково </w:t>
            </w:r>
            <w:r w:rsidRPr="007767BC">
              <w:rPr>
                <w:rFonts w:eastAsiaTheme="minorHAnsi"/>
                <w:sz w:val="24"/>
                <w:lang w:eastAsia="en-US"/>
              </w:rPr>
              <w:t xml:space="preserve">е сключен договор с </w:t>
            </w:r>
            <w:r>
              <w:rPr>
                <w:rFonts w:eastAsiaTheme="minorHAnsi"/>
                <w:sz w:val="24"/>
                <w:lang w:eastAsia="en-US"/>
              </w:rPr>
              <w:t>изпълнител по реда на ЗОП</w:t>
            </w:r>
            <w:r w:rsidRPr="007767BC">
              <w:rPr>
                <w:rFonts w:eastAsiaTheme="minorHAnsi"/>
                <w:sz w:val="24"/>
                <w:lang w:eastAsia="en-US"/>
              </w:rPr>
              <w:t xml:space="preserve">. </w:t>
            </w:r>
            <w:r w:rsidR="00DD0E79">
              <w:rPr>
                <w:rFonts w:eastAsiaTheme="minorHAnsi"/>
                <w:sz w:val="24"/>
                <w:lang w:eastAsia="en-US"/>
              </w:rPr>
              <w:t>Поради зависимостта си от метеоро</w:t>
            </w:r>
            <w:r w:rsidRPr="007767BC">
              <w:rPr>
                <w:rFonts w:eastAsiaTheme="minorHAnsi"/>
                <w:sz w:val="24"/>
                <w:lang w:eastAsia="en-US"/>
              </w:rPr>
              <w:t xml:space="preserve">логичните условия тази дейност е много трудно прогнозируема и е изцяло обвързана със стойността на обособените позиции </w:t>
            </w:r>
            <w:r>
              <w:rPr>
                <w:rFonts w:eastAsiaTheme="minorHAnsi"/>
                <w:sz w:val="24"/>
                <w:lang w:eastAsia="en-US"/>
              </w:rPr>
              <w:t>по сключения договор.</w:t>
            </w:r>
            <w:r w:rsidR="00DD0E79">
              <w:rPr>
                <w:rFonts w:eastAsiaTheme="minorHAnsi"/>
                <w:sz w:val="24"/>
                <w:lang w:eastAsia="en-US"/>
              </w:rPr>
              <w:t xml:space="preserve"> Заложената</w:t>
            </w:r>
            <w:r>
              <w:rPr>
                <w:rFonts w:eastAsiaTheme="minorHAnsi"/>
                <w:sz w:val="24"/>
                <w:lang w:eastAsia="en-US"/>
              </w:rPr>
              <w:t xml:space="preserve"> стойност за </w:t>
            </w:r>
            <w:r w:rsidR="00DD0E79">
              <w:rPr>
                <w:rFonts w:eastAsiaTheme="minorHAnsi"/>
                <w:sz w:val="24"/>
                <w:lang w:eastAsia="en-US"/>
              </w:rPr>
              <w:t>поредна година не е завишена и</w:t>
            </w:r>
            <w:r w:rsidRPr="007767BC">
              <w:rPr>
                <w:rFonts w:eastAsiaTheme="minorHAnsi"/>
                <w:sz w:val="24"/>
                <w:lang w:eastAsia="en-US"/>
              </w:rPr>
              <w:t xml:space="preserve"> е в размер на 432 000 лв.</w:t>
            </w:r>
          </w:p>
          <w:p w:rsidR="00B71482" w:rsidRPr="00B71482" w:rsidRDefault="00DD0E79" w:rsidP="007767BC">
            <w:pPr>
              <w:spacing w:line="276" w:lineRule="auto"/>
              <w:ind w:left="720"/>
              <w:contextualSpacing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Общият размер</w:t>
            </w:r>
            <w:r w:rsidR="00B71482" w:rsidRPr="00B71482">
              <w:rPr>
                <w:rFonts w:eastAsiaTheme="minorHAnsi"/>
                <w:sz w:val="24"/>
                <w:lang w:eastAsia="en-US"/>
              </w:rPr>
              <w:t xml:space="preserve"> на планираните разходи, съобразени с лимитите по </w:t>
            </w:r>
            <w:r>
              <w:rPr>
                <w:rFonts w:eastAsiaTheme="minorHAnsi"/>
                <w:sz w:val="24"/>
                <w:lang w:eastAsia="en-US"/>
              </w:rPr>
              <w:t>посочените договори</w:t>
            </w:r>
            <w:r w:rsidR="00B71482" w:rsidRPr="00B71482">
              <w:rPr>
                <w:rFonts w:eastAsiaTheme="minorHAnsi"/>
                <w:sz w:val="24"/>
                <w:lang w:eastAsia="en-US"/>
              </w:rPr>
              <w:t>, е 2 007 000 лв.;</w:t>
            </w:r>
          </w:p>
        </w:tc>
      </w:tr>
    </w:tbl>
    <w:p w:rsidR="00DD0E79" w:rsidRPr="008A1CB7" w:rsidRDefault="000128B5" w:rsidP="00DE4399">
      <w:pPr>
        <w:ind w:firstLine="708"/>
        <w:jc w:val="both"/>
        <w:rPr>
          <w:sz w:val="24"/>
        </w:rPr>
      </w:pPr>
      <w:r w:rsidRPr="000128B5">
        <w:rPr>
          <w:noProof/>
          <w:lang w:eastAsia="bg-BG"/>
        </w:rPr>
        <w:lastRenderedPageBreak/>
        <w:drawing>
          <wp:inline distT="0" distB="0" distL="0" distR="0" wp14:anchorId="44859105" wp14:editId="5319392B">
            <wp:extent cx="5760720" cy="8309862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0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0E79" w:rsidRPr="008A1CB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96F" w:rsidRDefault="004D496F" w:rsidP="000128B5">
      <w:pPr>
        <w:spacing w:after="0" w:line="240" w:lineRule="auto"/>
      </w:pPr>
      <w:r>
        <w:separator/>
      </w:r>
    </w:p>
  </w:endnote>
  <w:endnote w:type="continuationSeparator" w:id="0">
    <w:p w:rsidR="004D496F" w:rsidRDefault="004D496F" w:rsidP="0001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96F" w:rsidRDefault="004D496F" w:rsidP="000128B5">
      <w:pPr>
        <w:spacing w:after="0" w:line="240" w:lineRule="auto"/>
      </w:pPr>
      <w:r>
        <w:separator/>
      </w:r>
    </w:p>
  </w:footnote>
  <w:footnote w:type="continuationSeparator" w:id="0">
    <w:p w:rsidR="004D496F" w:rsidRDefault="004D496F" w:rsidP="00012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8B5" w:rsidRPr="000128B5" w:rsidRDefault="000128B5" w:rsidP="000128B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20"/>
        <w:lang w:val="en-US"/>
      </w:rPr>
    </w:pPr>
    <w:r w:rsidRPr="000128B5">
      <w:rPr>
        <w:rFonts w:ascii="Times New Roman" w:eastAsia="Times New Roman" w:hAnsi="Times New Roman" w:cs="Times New Roman"/>
        <w:noProof/>
        <w:sz w:val="16"/>
        <w:szCs w:val="20"/>
        <w:lang w:eastAsia="bg-BG"/>
      </w:rPr>
      <w:drawing>
        <wp:anchor distT="0" distB="0" distL="114300" distR="114300" simplePos="0" relativeHeight="251659264" behindDoc="0" locked="0" layoutInCell="1" allowOverlap="1" wp14:anchorId="7FB999B8" wp14:editId="0E4B36BC">
          <wp:simplePos x="0" y="0"/>
          <wp:positionH relativeFrom="column">
            <wp:posOffset>-277495</wp:posOffset>
          </wp:positionH>
          <wp:positionV relativeFrom="page">
            <wp:posOffset>459740</wp:posOffset>
          </wp:positionV>
          <wp:extent cx="513715" cy="800100"/>
          <wp:effectExtent l="0" t="0" r="635" b="0"/>
          <wp:wrapNone/>
          <wp:docPr id="3" name="Картина 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28B5" w:rsidRPr="000128B5" w:rsidRDefault="000128B5" w:rsidP="000128B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val="en-US"/>
      </w:rPr>
    </w:pPr>
  </w:p>
  <w:p w:rsidR="000128B5" w:rsidRPr="000128B5" w:rsidRDefault="000128B5" w:rsidP="000128B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0"/>
        <w:szCs w:val="18"/>
      </w:rPr>
    </w:pPr>
    <w:r w:rsidRPr="000128B5">
      <w:rPr>
        <w:rFonts w:ascii="Times New Roman" w:eastAsia="Times New Roman" w:hAnsi="Times New Roman" w:cs="Times New Roman"/>
        <w:b/>
        <w:sz w:val="32"/>
        <w:szCs w:val="48"/>
      </w:rPr>
      <w:t xml:space="preserve">  О</w:t>
    </w:r>
    <w:r w:rsidRPr="000128B5">
      <w:rPr>
        <w:rFonts w:ascii="Times New Roman" w:eastAsia="Times New Roman" w:hAnsi="Times New Roman" w:cs="Times New Roman"/>
        <w:b/>
        <w:sz w:val="32"/>
        <w:szCs w:val="48"/>
        <w:lang w:val="ru-RU"/>
      </w:rPr>
      <w:t xml:space="preserve"> </w:t>
    </w:r>
    <w:r w:rsidRPr="000128B5">
      <w:rPr>
        <w:rFonts w:ascii="Times New Roman" w:eastAsia="Times New Roman" w:hAnsi="Times New Roman" w:cs="Times New Roman"/>
        <w:b/>
        <w:sz w:val="32"/>
        <w:szCs w:val="48"/>
      </w:rPr>
      <w:t>Б</w:t>
    </w:r>
    <w:r w:rsidRPr="000128B5">
      <w:rPr>
        <w:rFonts w:ascii="Times New Roman" w:eastAsia="Times New Roman" w:hAnsi="Times New Roman" w:cs="Times New Roman"/>
        <w:b/>
        <w:sz w:val="32"/>
        <w:szCs w:val="48"/>
        <w:lang w:val="ru-RU"/>
      </w:rPr>
      <w:t xml:space="preserve"> </w:t>
    </w:r>
    <w:r w:rsidRPr="000128B5">
      <w:rPr>
        <w:rFonts w:ascii="Times New Roman" w:eastAsia="Times New Roman" w:hAnsi="Times New Roman" w:cs="Times New Roman"/>
        <w:b/>
        <w:sz w:val="32"/>
        <w:szCs w:val="48"/>
      </w:rPr>
      <w:t>Щ</w:t>
    </w:r>
    <w:r w:rsidRPr="000128B5">
      <w:rPr>
        <w:rFonts w:ascii="Times New Roman" w:eastAsia="Times New Roman" w:hAnsi="Times New Roman" w:cs="Times New Roman"/>
        <w:b/>
        <w:sz w:val="32"/>
        <w:szCs w:val="48"/>
        <w:lang w:val="ru-RU"/>
      </w:rPr>
      <w:t xml:space="preserve"> </w:t>
    </w:r>
    <w:r w:rsidRPr="000128B5">
      <w:rPr>
        <w:rFonts w:ascii="Times New Roman" w:eastAsia="Times New Roman" w:hAnsi="Times New Roman" w:cs="Times New Roman"/>
        <w:b/>
        <w:sz w:val="32"/>
        <w:szCs w:val="48"/>
      </w:rPr>
      <w:t>И</w:t>
    </w:r>
    <w:r w:rsidRPr="000128B5">
      <w:rPr>
        <w:rFonts w:ascii="Times New Roman" w:eastAsia="Times New Roman" w:hAnsi="Times New Roman" w:cs="Times New Roman"/>
        <w:b/>
        <w:sz w:val="32"/>
        <w:szCs w:val="48"/>
        <w:lang w:val="ru-RU"/>
      </w:rPr>
      <w:t xml:space="preserve"> </w:t>
    </w:r>
    <w:r w:rsidRPr="000128B5">
      <w:rPr>
        <w:rFonts w:ascii="Times New Roman" w:eastAsia="Times New Roman" w:hAnsi="Times New Roman" w:cs="Times New Roman"/>
        <w:b/>
        <w:sz w:val="32"/>
        <w:szCs w:val="48"/>
      </w:rPr>
      <w:t>Н</w:t>
    </w:r>
    <w:r w:rsidRPr="000128B5">
      <w:rPr>
        <w:rFonts w:ascii="Times New Roman" w:eastAsia="Times New Roman" w:hAnsi="Times New Roman" w:cs="Times New Roman"/>
        <w:b/>
        <w:sz w:val="32"/>
        <w:szCs w:val="48"/>
        <w:lang w:val="ru-RU"/>
      </w:rPr>
      <w:t xml:space="preserve"> </w:t>
    </w:r>
    <w:r w:rsidRPr="000128B5">
      <w:rPr>
        <w:rFonts w:ascii="Times New Roman" w:eastAsia="Times New Roman" w:hAnsi="Times New Roman" w:cs="Times New Roman"/>
        <w:b/>
        <w:sz w:val="32"/>
        <w:szCs w:val="48"/>
      </w:rPr>
      <w:t xml:space="preserve">А </w:t>
    </w:r>
    <w:r w:rsidRPr="000128B5">
      <w:rPr>
        <w:rFonts w:ascii="Times New Roman" w:eastAsia="Times New Roman" w:hAnsi="Times New Roman" w:cs="Times New Roman"/>
        <w:b/>
        <w:sz w:val="32"/>
        <w:szCs w:val="48"/>
        <w:lang w:val="ru-RU"/>
      </w:rPr>
      <w:t xml:space="preserve">  </w:t>
    </w:r>
    <w:r w:rsidRPr="000128B5">
      <w:rPr>
        <w:rFonts w:ascii="Times New Roman" w:eastAsia="Times New Roman" w:hAnsi="Times New Roman" w:cs="Times New Roman"/>
        <w:b/>
        <w:sz w:val="32"/>
        <w:szCs w:val="48"/>
      </w:rPr>
      <w:t xml:space="preserve"> Х</w:t>
    </w:r>
    <w:r w:rsidRPr="000128B5">
      <w:rPr>
        <w:rFonts w:ascii="Times New Roman" w:eastAsia="Times New Roman" w:hAnsi="Times New Roman" w:cs="Times New Roman"/>
        <w:b/>
        <w:sz w:val="32"/>
        <w:szCs w:val="48"/>
        <w:lang w:val="ru-RU"/>
      </w:rPr>
      <w:t xml:space="preserve"> </w:t>
    </w:r>
    <w:r w:rsidRPr="000128B5">
      <w:rPr>
        <w:rFonts w:ascii="Times New Roman" w:eastAsia="Times New Roman" w:hAnsi="Times New Roman" w:cs="Times New Roman"/>
        <w:b/>
        <w:sz w:val="32"/>
        <w:szCs w:val="48"/>
      </w:rPr>
      <w:t>А</w:t>
    </w:r>
    <w:r w:rsidRPr="000128B5">
      <w:rPr>
        <w:rFonts w:ascii="Times New Roman" w:eastAsia="Times New Roman" w:hAnsi="Times New Roman" w:cs="Times New Roman"/>
        <w:b/>
        <w:sz w:val="32"/>
        <w:szCs w:val="48"/>
        <w:lang w:val="ru-RU"/>
      </w:rPr>
      <w:t xml:space="preserve"> </w:t>
    </w:r>
    <w:r w:rsidRPr="000128B5">
      <w:rPr>
        <w:rFonts w:ascii="Times New Roman" w:eastAsia="Times New Roman" w:hAnsi="Times New Roman" w:cs="Times New Roman"/>
        <w:b/>
        <w:sz w:val="32"/>
        <w:szCs w:val="48"/>
      </w:rPr>
      <w:t>С</w:t>
    </w:r>
    <w:r w:rsidRPr="000128B5">
      <w:rPr>
        <w:rFonts w:ascii="Times New Roman" w:eastAsia="Times New Roman" w:hAnsi="Times New Roman" w:cs="Times New Roman"/>
        <w:b/>
        <w:sz w:val="32"/>
        <w:szCs w:val="48"/>
        <w:lang w:val="ru-RU"/>
      </w:rPr>
      <w:t xml:space="preserve"> </w:t>
    </w:r>
    <w:r w:rsidRPr="000128B5">
      <w:rPr>
        <w:rFonts w:ascii="Times New Roman" w:eastAsia="Times New Roman" w:hAnsi="Times New Roman" w:cs="Times New Roman"/>
        <w:b/>
        <w:sz w:val="32"/>
        <w:szCs w:val="48"/>
      </w:rPr>
      <w:t>К</w:t>
    </w:r>
    <w:r w:rsidRPr="000128B5">
      <w:rPr>
        <w:rFonts w:ascii="Times New Roman" w:eastAsia="Times New Roman" w:hAnsi="Times New Roman" w:cs="Times New Roman"/>
        <w:b/>
        <w:sz w:val="32"/>
        <w:szCs w:val="48"/>
        <w:lang w:val="ru-RU"/>
      </w:rPr>
      <w:t xml:space="preserve"> </w:t>
    </w:r>
    <w:r w:rsidRPr="000128B5">
      <w:rPr>
        <w:rFonts w:ascii="Times New Roman" w:eastAsia="Times New Roman" w:hAnsi="Times New Roman" w:cs="Times New Roman"/>
        <w:b/>
        <w:sz w:val="32"/>
        <w:szCs w:val="48"/>
      </w:rPr>
      <w:t>О</w:t>
    </w:r>
    <w:r w:rsidRPr="000128B5">
      <w:rPr>
        <w:rFonts w:ascii="Times New Roman" w:eastAsia="Times New Roman" w:hAnsi="Times New Roman" w:cs="Times New Roman"/>
        <w:b/>
        <w:sz w:val="32"/>
        <w:szCs w:val="48"/>
        <w:lang w:val="ru-RU"/>
      </w:rPr>
      <w:t xml:space="preserve"> </w:t>
    </w:r>
    <w:r w:rsidRPr="000128B5">
      <w:rPr>
        <w:rFonts w:ascii="Times New Roman" w:eastAsia="Times New Roman" w:hAnsi="Times New Roman" w:cs="Times New Roman"/>
        <w:b/>
        <w:sz w:val="32"/>
        <w:szCs w:val="48"/>
      </w:rPr>
      <w:t>В</w:t>
    </w:r>
    <w:r w:rsidRPr="000128B5">
      <w:rPr>
        <w:rFonts w:ascii="Times New Roman" w:eastAsia="Times New Roman" w:hAnsi="Times New Roman" w:cs="Times New Roman"/>
        <w:b/>
        <w:sz w:val="32"/>
        <w:szCs w:val="48"/>
        <w:lang w:val="ru-RU"/>
      </w:rPr>
      <w:t xml:space="preserve"> </w:t>
    </w:r>
    <w:r w:rsidRPr="000128B5">
      <w:rPr>
        <w:rFonts w:ascii="Times New Roman" w:eastAsia="Times New Roman" w:hAnsi="Times New Roman" w:cs="Times New Roman"/>
        <w:b/>
        <w:sz w:val="32"/>
        <w:szCs w:val="48"/>
      </w:rPr>
      <w:t>О</w:t>
    </w:r>
  </w:p>
  <w:p w:rsidR="000128B5" w:rsidRPr="000128B5" w:rsidRDefault="000128B5" w:rsidP="000128B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4"/>
        <w:szCs w:val="18"/>
      </w:rPr>
    </w:pPr>
  </w:p>
  <w:p w:rsidR="000128B5" w:rsidRPr="000128B5" w:rsidRDefault="000128B5" w:rsidP="000128B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val="en-US"/>
      </w:rPr>
    </w:pPr>
    <w:r w:rsidRPr="000128B5">
      <w:rPr>
        <w:rFonts w:ascii="Times New Roman" w:eastAsia="Times New Roman" w:hAnsi="Times New Roman" w:cs="Times New Roman"/>
        <w:b/>
        <w:sz w:val="18"/>
      </w:rPr>
      <w:t>__________________________________________________________________________________</w:t>
    </w:r>
    <w:r w:rsidRPr="000128B5">
      <w:rPr>
        <w:rFonts w:ascii="Times New Roman" w:eastAsia="Times New Roman" w:hAnsi="Times New Roman" w:cs="Times New Roman"/>
        <w:sz w:val="16"/>
        <w:szCs w:val="20"/>
        <w:lang w:val="ru-RU"/>
      </w:rPr>
      <w:t xml:space="preserve"> </w:t>
    </w:r>
  </w:p>
  <w:p w:rsidR="000128B5" w:rsidRPr="000128B5" w:rsidRDefault="000128B5" w:rsidP="000128B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8"/>
        <w:szCs w:val="12"/>
      </w:rPr>
    </w:pPr>
  </w:p>
  <w:p w:rsidR="000128B5" w:rsidRPr="000128B5" w:rsidRDefault="000128B5" w:rsidP="000128B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val="ru-RU"/>
      </w:rPr>
    </w:pPr>
    <w:r w:rsidRPr="000128B5">
      <w:rPr>
        <w:rFonts w:ascii="Times New Roman" w:eastAsia="Times New Roman" w:hAnsi="Times New Roman" w:cs="Times New Roman"/>
        <w:sz w:val="16"/>
        <w:szCs w:val="20"/>
      </w:rPr>
      <w:t xml:space="preserve">6300 гр. Хасково, пл.”Общински” №1,  тел.: 038/603 300; факс: 038/664 110; </w:t>
    </w:r>
    <w:r w:rsidRPr="000128B5">
      <w:rPr>
        <w:rFonts w:ascii="Times New Roman" w:eastAsia="Times New Roman" w:hAnsi="Times New Roman" w:cs="Times New Roman"/>
        <w:sz w:val="16"/>
        <w:szCs w:val="20"/>
        <w:lang w:val="en-US"/>
      </w:rPr>
      <w:t>e</w:t>
    </w:r>
    <w:r w:rsidRPr="000128B5">
      <w:rPr>
        <w:rFonts w:ascii="Times New Roman" w:eastAsia="Times New Roman" w:hAnsi="Times New Roman" w:cs="Times New Roman"/>
        <w:sz w:val="16"/>
        <w:szCs w:val="20"/>
        <w:lang w:val="ru-RU"/>
      </w:rPr>
      <w:t>-</w:t>
    </w:r>
    <w:r w:rsidRPr="000128B5">
      <w:rPr>
        <w:rFonts w:ascii="Times New Roman" w:eastAsia="Times New Roman" w:hAnsi="Times New Roman" w:cs="Times New Roman"/>
        <w:sz w:val="16"/>
        <w:szCs w:val="20"/>
        <w:lang w:val="en-US"/>
      </w:rPr>
      <w:t>mail</w:t>
    </w:r>
    <w:r w:rsidRPr="000128B5">
      <w:rPr>
        <w:rFonts w:ascii="Times New Roman" w:eastAsia="Times New Roman" w:hAnsi="Times New Roman" w:cs="Times New Roman"/>
        <w:sz w:val="16"/>
        <w:szCs w:val="20"/>
        <w:lang w:val="ru-RU"/>
      </w:rPr>
      <w:t>:</w:t>
    </w:r>
    <w:proofErr w:type="spellStart"/>
    <w:r w:rsidRPr="000128B5">
      <w:rPr>
        <w:rFonts w:ascii="Times New Roman" w:eastAsia="Times New Roman" w:hAnsi="Times New Roman" w:cs="Times New Roman"/>
        <w:sz w:val="16"/>
        <w:szCs w:val="20"/>
        <w:lang w:val="en-US"/>
      </w:rPr>
      <w:t>kmet</w:t>
    </w:r>
    <w:proofErr w:type="spellEnd"/>
    <w:r w:rsidRPr="000128B5">
      <w:rPr>
        <w:rFonts w:ascii="Times New Roman" w:eastAsia="Times New Roman" w:hAnsi="Times New Roman" w:cs="Times New Roman"/>
        <w:sz w:val="16"/>
        <w:szCs w:val="20"/>
        <w:lang w:val="ru-RU"/>
      </w:rPr>
      <w:t>@</w:t>
    </w:r>
    <w:proofErr w:type="spellStart"/>
    <w:r w:rsidRPr="000128B5">
      <w:rPr>
        <w:rFonts w:ascii="Times New Roman" w:eastAsia="Times New Roman" w:hAnsi="Times New Roman" w:cs="Times New Roman"/>
        <w:sz w:val="16"/>
        <w:szCs w:val="20"/>
        <w:lang w:val="en-US"/>
      </w:rPr>
      <w:t>haskovo</w:t>
    </w:r>
    <w:proofErr w:type="spellEnd"/>
    <w:r w:rsidRPr="000128B5">
      <w:rPr>
        <w:rFonts w:ascii="Times New Roman" w:eastAsia="Times New Roman" w:hAnsi="Times New Roman" w:cs="Times New Roman"/>
        <w:sz w:val="16"/>
        <w:szCs w:val="20"/>
        <w:lang w:val="ru-RU"/>
      </w:rPr>
      <w:t>.</w:t>
    </w:r>
    <w:proofErr w:type="spellStart"/>
    <w:r w:rsidRPr="000128B5">
      <w:rPr>
        <w:rFonts w:ascii="Times New Roman" w:eastAsia="Times New Roman" w:hAnsi="Times New Roman" w:cs="Times New Roman"/>
        <w:sz w:val="16"/>
        <w:szCs w:val="20"/>
        <w:lang w:val="en-US"/>
      </w:rPr>
      <w:t>bg</w:t>
    </w:r>
    <w:proofErr w:type="spellEnd"/>
  </w:p>
  <w:p w:rsidR="000128B5" w:rsidRDefault="000128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A73EF"/>
    <w:multiLevelType w:val="hybridMultilevel"/>
    <w:tmpl w:val="AE68726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6637D"/>
    <w:multiLevelType w:val="hybridMultilevel"/>
    <w:tmpl w:val="01AA209A"/>
    <w:lvl w:ilvl="0" w:tplc="46988FB8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62B03"/>
    <w:multiLevelType w:val="hybridMultilevel"/>
    <w:tmpl w:val="C3D0B87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E5"/>
    <w:rsid w:val="000128B5"/>
    <w:rsid w:val="001969D8"/>
    <w:rsid w:val="003C3DFA"/>
    <w:rsid w:val="004D496F"/>
    <w:rsid w:val="006548BB"/>
    <w:rsid w:val="007767BC"/>
    <w:rsid w:val="008A1CB7"/>
    <w:rsid w:val="008D7DE5"/>
    <w:rsid w:val="00915E4F"/>
    <w:rsid w:val="00A16C1D"/>
    <w:rsid w:val="00A22E28"/>
    <w:rsid w:val="00A5508A"/>
    <w:rsid w:val="00AA3FE0"/>
    <w:rsid w:val="00B34BCE"/>
    <w:rsid w:val="00B71482"/>
    <w:rsid w:val="00DA3AF2"/>
    <w:rsid w:val="00DD0E79"/>
    <w:rsid w:val="00D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482"/>
    <w:pPr>
      <w:ind w:left="720"/>
      <w:contextualSpacing/>
    </w:pPr>
    <w:rPr>
      <w:rFonts w:eastAsiaTheme="minorEastAsia"/>
      <w:lang w:eastAsia="bg-BG"/>
    </w:rPr>
  </w:style>
  <w:style w:type="table" w:styleId="a4">
    <w:name w:val="Table Grid"/>
    <w:basedOn w:val="a1"/>
    <w:uiPriority w:val="59"/>
    <w:rsid w:val="00B71482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128B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128B5"/>
  </w:style>
  <w:style w:type="paragraph" w:styleId="a9">
    <w:name w:val="footer"/>
    <w:basedOn w:val="a"/>
    <w:link w:val="aa"/>
    <w:uiPriority w:val="99"/>
    <w:unhideWhenUsed/>
    <w:rsid w:val="0001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12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482"/>
    <w:pPr>
      <w:ind w:left="720"/>
      <w:contextualSpacing/>
    </w:pPr>
    <w:rPr>
      <w:rFonts w:eastAsiaTheme="minorEastAsia"/>
      <w:lang w:eastAsia="bg-BG"/>
    </w:rPr>
  </w:style>
  <w:style w:type="table" w:styleId="a4">
    <w:name w:val="Table Grid"/>
    <w:basedOn w:val="a1"/>
    <w:uiPriority w:val="59"/>
    <w:rsid w:val="00B71482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128B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128B5"/>
  </w:style>
  <w:style w:type="paragraph" w:styleId="a9">
    <w:name w:val="footer"/>
    <w:basedOn w:val="a"/>
    <w:link w:val="aa"/>
    <w:uiPriority w:val="99"/>
    <w:unhideWhenUsed/>
    <w:rsid w:val="0001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1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user227</dc:creator>
  <cp:lastModifiedBy>user228</cp:lastModifiedBy>
  <cp:revision>7</cp:revision>
  <cp:lastPrinted>2021-11-16T09:13:00Z</cp:lastPrinted>
  <dcterms:created xsi:type="dcterms:W3CDTF">2021-11-13T09:28:00Z</dcterms:created>
  <dcterms:modified xsi:type="dcterms:W3CDTF">2021-11-16T09:13:00Z</dcterms:modified>
</cp:coreProperties>
</file>